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A54BF" w14:textId="77777777" w:rsidR="00D246F3" w:rsidRPr="00E83436" w:rsidRDefault="00D246F3" w:rsidP="00D246F3">
      <w:pPr>
        <w:autoSpaceDE w:val="0"/>
        <w:autoSpaceDN w:val="0"/>
        <w:rPr>
          <w:rFonts w:ascii="Arial Narrow" w:hAnsi="Arial Narrow"/>
          <w:szCs w:val="24"/>
        </w:rPr>
      </w:pPr>
      <w:r w:rsidRPr="00E83436">
        <w:rPr>
          <w:rFonts w:ascii="Arial Narrow" w:hAnsi="Arial Narrow"/>
          <w:szCs w:val="24"/>
        </w:rPr>
        <w:t>FDA inspection</w:t>
      </w:r>
    </w:p>
    <w:p w14:paraId="6271FDE6" w14:textId="77777777" w:rsidR="00D246F3" w:rsidRPr="00E83436" w:rsidRDefault="00D246F3" w:rsidP="00D246F3">
      <w:pPr>
        <w:autoSpaceDE w:val="0"/>
        <w:autoSpaceDN w:val="0"/>
        <w:rPr>
          <w:rFonts w:ascii="Arial Narrow" w:hAnsi="Arial Narrow"/>
          <w:szCs w:val="24"/>
        </w:rPr>
      </w:pPr>
      <w:r w:rsidRPr="00E83436">
        <w:rPr>
          <w:rFonts w:ascii="Arial Narrow" w:hAnsi="Arial Narrow"/>
          <w:szCs w:val="24"/>
        </w:rPr>
        <w:t xml:space="preserve">In connection with the export of our products for the U.S. market, we were subjected to FDA </w:t>
      </w:r>
    </w:p>
    <w:p w14:paraId="4A264A94" w14:textId="77777777" w:rsidR="00D246F3" w:rsidRPr="00E83436" w:rsidRDefault="00D246F3" w:rsidP="00D246F3">
      <w:pPr>
        <w:autoSpaceDE w:val="0"/>
        <w:autoSpaceDN w:val="0"/>
        <w:rPr>
          <w:rFonts w:ascii="Arial Narrow" w:hAnsi="Arial Narrow"/>
          <w:szCs w:val="24"/>
        </w:rPr>
      </w:pPr>
      <w:r w:rsidRPr="00E83436">
        <w:rPr>
          <w:rFonts w:ascii="Arial Narrow" w:hAnsi="Arial Narrow"/>
          <w:szCs w:val="24"/>
        </w:rPr>
        <w:t xml:space="preserve">(Food Drug and Administration) inspections. The inspection took place in October 2019. </w:t>
      </w:r>
    </w:p>
    <w:p w14:paraId="3A07EA6E" w14:textId="77777777" w:rsidR="00D246F3" w:rsidRPr="00E83436" w:rsidRDefault="00D246F3" w:rsidP="00D246F3">
      <w:pPr>
        <w:rPr>
          <w:rFonts w:ascii="Arial Narrow" w:hAnsi="Arial Narrow"/>
          <w:szCs w:val="24"/>
        </w:rPr>
      </w:pPr>
      <w:r w:rsidRPr="00E83436">
        <w:rPr>
          <w:rFonts w:ascii="Arial Narrow" w:hAnsi="Arial Narrow"/>
          <w:szCs w:val="24"/>
        </w:rPr>
        <w:t>FDA inspectors checked whether our products intended for the US market are manufactured in accordance with strict US requirements. The American approach to dietary supplements is similar to that used in Europe for medicines. There are CFR requirements for supplements (equivalent to GMP), there is a pharmacopoeia for supplements. This already indicates that the inspection was at a level similar to the Pharmaceutical Inspection. The inspection was conducted in accordance with the requirements of CFR 21.I.B.111</w:t>
      </w:r>
    </w:p>
    <w:p w14:paraId="5CB94F8E" w14:textId="77777777" w:rsidR="00D246F3" w:rsidRPr="00E83436" w:rsidRDefault="00D246F3" w:rsidP="00D246F3">
      <w:pPr>
        <w:rPr>
          <w:rFonts w:ascii="Arial Narrow" w:hAnsi="Arial Narrow"/>
          <w:szCs w:val="24"/>
        </w:rPr>
      </w:pPr>
      <w:r w:rsidRPr="00E83436">
        <w:rPr>
          <w:rFonts w:ascii="Arial Narrow" w:hAnsi="Arial Narrow"/>
          <w:szCs w:val="24"/>
        </w:rPr>
        <w:t xml:space="preserve">Below is the title of the guide and the link to it </w:t>
      </w:r>
    </w:p>
    <w:p w14:paraId="4C2DF35F" w14:textId="77777777" w:rsidR="00D246F3" w:rsidRPr="00E83436" w:rsidRDefault="00D246F3" w:rsidP="00D246F3">
      <w:pPr>
        <w:rPr>
          <w:rFonts w:ascii="Arial Narrow" w:hAnsi="Arial Narrow"/>
          <w:szCs w:val="24"/>
        </w:rPr>
      </w:pPr>
      <w:r w:rsidRPr="00E83436">
        <w:rPr>
          <w:rFonts w:ascii="Arial Narrow" w:hAnsi="Arial Narrow"/>
          <w:szCs w:val="24"/>
        </w:rPr>
        <w:t>TITLE 21--FOOD AND DRUGS</w:t>
      </w:r>
      <w:r w:rsidRPr="00E83436">
        <w:rPr>
          <w:rFonts w:ascii="Arial Narrow" w:hAnsi="Arial Narrow"/>
          <w:szCs w:val="24"/>
        </w:rPr>
        <w:br/>
        <w:t>CHAPTER I--FOOD AND DRUG ADMINISTRATION</w:t>
      </w:r>
      <w:r w:rsidRPr="00E83436">
        <w:rPr>
          <w:rFonts w:ascii="Arial Narrow" w:hAnsi="Arial Narrow"/>
          <w:szCs w:val="24"/>
        </w:rPr>
        <w:br/>
        <w:t>DEPARTMENT OF HEALTH AND HUMAN SERVICES</w:t>
      </w:r>
      <w:r w:rsidRPr="00E83436">
        <w:rPr>
          <w:rFonts w:ascii="Arial Narrow" w:hAnsi="Arial Narrow"/>
          <w:szCs w:val="24"/>
        </w:rPr>
        <w:br/>
        <w:t>SUBCHAPTER B--FOOD FOR HUMAN CONSUMPTION</w:t>
      </w:r>
    </w:p>
    <w:p w14:paraId="19DE55DC" w14:textId="77777777" w:rsidR="00D246F3" w:rsidRPr="00E83436" w:rsidRDefault="00D246F3" w:rsidP="00D246F3">
      <w:pPr>
        <w:rPr>
          <w:rFonts w:ascii="Arial Narrow" w:hAnsi="Arial Narrow"/>
          <w:color w:val="0070C0"/>
          <w:szCs w:val="24"/>
          <w:u w:val="single"/>
        </w:rPr>
      </w:pPr>
      <w:r w:rsidRPr="00E83436">
        <w:rPr>
          <w:rFonts w:ascii="Arial Narrow" w:hAnsi="Arial Narrow"/>
          <w:szCs w:val="24"/>
        </w:rPr>
        <w:t xml:space="preserve">PART 111 </w:t>
      </w:r>
      <w:hyperlink r:id="rId7" w:history="1">
        <w:r w:rsidRPr="00E83436">
          <w:rPr>
            <w:rFonts w:ascii="Arial Narrow" w:hAnsi="Arial Narrow"/>
            <w:color w:val="0070C0"/>
            <w:szCs w:val="24"/>
            <w:u w:val="single"/>
          </w:rPr>
          <w:t>CURRENT GOOD MANUFACTURING PRACTICE IN MANUFACTURING, PACKAGING, LABELING, OR HOLDING OPERATIONS FOR DIETARY SUPPLEMENTS</w:t>
        </w:r>
      </w:hyperlink>
    </w:p>
    <w:p w14:paraId="0190A44E" w14:textId="77777777" w:rsidR="00D246F3" w:rsidRPr="00E83436" w:rsidRDefault="00D246F3" w:rsidP="00D246F3">
      <w:pPr>
        <w:rPr>
          <w:rFonts w:ascii="Arial Narrow" w:hAnsi="Arial Narrow"/>
          <w:szCs w:val="24"/>
        </w:rPr>
      </w:pPr>
    </w:p>
    <w:p w14:paraId="24FBED79" w14:textId="77777777" w:rsidR="00D246F3" w:rsidRPr="00E83436" w:rsidRDefault="00D246F3" w:rsidP="00D246F3">
      <w:pPr>
        <w:rPr>
          <w:rFonts w:ascii="Arial Narrow" w:hAnsi="Arial Narrow"/>
          <w:szCs w:val="24"/>
        </w:rPr>
      </w:pPr>
      <w:r w:rsidRPr="00E83436">
        <w:rPr>
          <w:rFonts w:ascii="Arial Narrow" w:hAnsi="Arial Narrow"/>
          <w:szCs w:val="24"/>
        </w:rPr>
        <w:t xml:space="preserve">The following areas were inspected, giving the main ones: </w:t>
      </w:r>
    </w:p>
    <w:p w14:paraId="6FD20A14" w14:textId="77777777" w:rsidR="00D246F3" w:rsidRPr="00E83436" w:rsidRDefault="00D246F3" w:rsidP="00D246F3">
      <w:pPr>
        <w:pStyle w:val="Akapitzlist"/>
        <w:numPr>
          <w:ilvl w:val="0"/>
          <w:numId w:val="2"/>
        </w:numPr>
        <w:ind w:left="284" w:hanging="284"/>
        <w:rPr>
          <w:rFonts w:ascii="Arial Narrow" w:hAnsi="Arial Narrow"/>
          <w:bCs/>
          <w:szCs w:val="24"/>
        </w:rPr>
      </w:pPr>
      <w:r w:rsidRPr="00E83436">
        <w:rPr>
          <w:rFonts w:ascii="Arial Narrow" w:hAnsi="Arial Narrow"/>
          <w:bCs/>
          <w:szCs w:val="24"/>
        </w:rPr>
        <w:t>personnel,</w:t>
      </w:r>
    </w:p>
    <w:p w14:paraId="67D9A5C6" w14:textId="77777777" w:rsidR="00D246F3" w:rsidRPr="00E83436" w:rsidRDefault="00D246F3" w:rsidP="00D246F3">
      <w:pPr>
        <w:pStyle w:val="Akapitzlist"/>
        <w:numPr>
          <w:ilvl w:val="0"/>
          <w:numId w:val="2"/>
        </w:numPr>
        <w:ind w:left="284" w:hanging="284"/>
        <w:rPr>
          <w:rFonts w:ascii="Arial Narrow" w:hAnsi="Arial Narrow"/>
          <w:bCs/>
          <w:szCs w:val="24"/>
        </w:rPr>
      </w:pPr>
      <w:r w:rsidRPr="00E83436">
        <w:rPr>
          <w:rFonts w:ascii="Arial Narrow" w:hAnsi="Arial Narrow"/>
          <w:bCs/>
          <w:szCs w:val="24"/>
        </w:rPr>
        <w:t>machinery and equipment</w:t>
      </w:r>
    </w:p>
    <w:p w14:paraId="23B992F2" w14:textId="77777777" w:rsidR="00D246F3" w:rsidRPr="00E83436" w:rsidRDefault="00D246F3" w:rsidP="00D246F3">
      <w:pPr>
        <w:pStyle w:val="Akapitzlist"/>
        <w:numPr>
          <w:ilvl w:val="0"/>
          <w:numId w:val="2"/>
        </w:numPr>
        <w:ind w:left="284" w:hanging="284"/>
        <w:rPr>
          <w:rFonts w:ascii="Arial Narrow" w:hAnsi="Arial Narrow"/>
          <w:bCs/>
          <w:szCs w:val="24"/>
        </w:rPr>
      </w:pPr>
      <w:r w:rsidRPr="00E83436">
        <w:rPr>
          <w:rFonts w:ascii="Arial Narrow" w:hAnsi="Arial Narrow"/>
          <w:bCs/>
          <w:szCs w:val="24"/>
        </w:rPr>
        <w:t>documentation</w:t>
      </w:r>
    </w:p>
    <w:p w14:paraId="2147049D" w14:textId="77777777" w:rsidR="00D246F3" w:rsidRPr="00E83436" w:rsidRDefault="00D246F3" w:rsidP="00D246F3">
      <w:pPr>
        <w:pStyle w:val="Akapitzlist"/>
        <w:numPr>
          <w:ilvl w:val="0"/>
          <w:numId w:val="2"/>
        </w:numPr>
        <w:ind w:left="284" w:hanging="284"/>
        <w:rPr>
          <w:rFonts w:ascii="Arial Narrow" w:hAnsi="Arial Narrow"/>
          <w:bCs/>
          <w:szCs w:val="24"/>
        </w:rPr>
      </w:pPr>
      <w:r w:rsidRPr="00E83436">
        <w:rPr>
          <w:rFonts w:ascii="Arial Narrow" w:hAnsi="Arial Narrow"/>
          <w:bCs/>
          <w:szCs w:val="24"/>
        </w:rPr>
        <w:t>manufacturing</w:t>
      </w:r>
    </w:p>
    <w:p w14:paraId="3C88C571" w14:textId="77777777" w:rsidR="00D246F3" w:rsidRPr="00E83436" w:rsidRDefault="00D246F3" w:rsidP="00D246F3">
      <w:pPr>
        <w:pStyle w:val="Akapitzlist"/>
        <w:numPr>
          <w:ilvl w:val="0"/>
          <w:numId w:val="2"/>
        </w:numPr>
        <w:ind w:left="284" w:hanging="284"/>
        <w:rPr>
          <w:rFonts w:ascii="Arial Narrow" w:hAnsi="Arial Narrow"/>
          <w:bCs/>
          <w:szCs w:val="24"/>
        </w:rPr>
      </w:pPr>
      <w:r w:rsidRPr="00E83436">
        <w:rPr>
          <w:rFonts w:ascii="Arial Narrow" w:hAnsi="Arial Narrow"/>
          <w:bCs/>
          <w:szCs w:val="24"/>
        </w:rPr>
        <w:t xml:space="preserve">quality control </w:t>
      </w:r>
    </w:p>
    <w:p w14:paraId="660B41B0" w14:textId="77777777" w:rsidR="00D246F3" w:rsidRPr="00E83436" w:rsidRDefault="00D246F3" w:rsidP="00D246F3">
      <w:pPr>
        <w:pStyle w:val="Akapitzlist"/>
        <w:numPr>
          <w:ilvl w:val="0"/>
          <w:numId w:val="2"/>
        </w:numPr>
        <w:ind w:left="284" w:hanging="284"/>
        <w:rPr>
          <w:rFonts w:ascii="Arial Narrow" w:hAnsi="Arial Narrow"/>
          <w:bCs/>
          <w:szCs w:val="24"/>
        </w:rPr>
      </w:pPr>
      <w:r w:rsidRPr="00E83436">
        <w:rPr>
          <w:rFonts w:ascii="Arial Narrow" w:hAnsi="Arial Narrow"/>
          <w:bCs/>
          <w:szCs w:val="24"/>
        </w:rPr>
        <w:t>storage and distribution</w:t>
      </w:r>
    </w:p>
    <w:p w14:paraId="58E3DB45" w14:textId="77777777" w:rsidR="00D246F3" w:rsidRPr="00E83436" w:rsidRDefault="00D246F3" w:rsidP="00D246F3">
      <w:pPr>
        <w:pStyle w:val="Akapitzlist"/>
        <w:numPr>
          <w:ilvl w:val="0"/>
          <w:numId w:val="2"/>
        </w:numPr>
        <w:ind w:left="284" w:hanging="284"/>
        <w:rPr>
          <w:rFonts w:ascii="Arial Narrow" w:hAnsi="Arial Narrow"/>
          <w:bCs/>
          <w:szCs w:val="24"/>
        </w:rPr>
      </w:pPr>
      <w:r w:rsidRPr="00E83436">
        <w:rPr>
          <w:rFonts w:ascii="Arial Narrow" w:hAnsi="Arial Narrow"/>
          <w:bCs/>
          <w:szCs w:val="24"/>
        </w:rPr>
        <w:t>outsourced activities</w:t>
      </w:r>
    </w:p>
    <w:p w14:paraId="385FDA35" w14:textId="77777777" w:rsidR="00D246F3" w:rsidRPr="00E83436" w:rsidRDefault="00D246F3" w:rsidP="00D246F3">
      <w:pPr>
        <w:pStyle w:val="Akapitzlist"/>
        <w:numPr>
          <w:ilvl w:val="0"/>
          <w:numId w:val="2"/>
        </w:numPr>
        <w:ind w:left="284" w:hanging="284"/>
        <w:rPr>
          <w:rFonts w:ascii="Arial Narrow" w:hAnsi="Arial Narrow"/>
          <w:bCs/>
          <w:szCs w:val="24"/>
        </w:rPr>
      </w:pPr>
      <w:r w:rsidRPr="00E83436">
        <w:rPr>
          <w:rFonts w:ascii="Arial Narrow" w:hAnsi="Arial Narrow"/>
          <w:bCs/>
          <w:szCs w:val="24"/>
        </w:rPr>
        <w:t xml:space="preserve">complaints, quality defects and product recalls </w:t>
      </w:r>
    </w:p>
    <w:p w14:paraId="5042EB8F" w14:textId="77777777" w:rsidR="00D246F3" w:rsidRPr="00E83436" w:rsidRDefault="00D246F3" w:rsidP="00D246F3">
      <w:pPr>
        <w:pStyle w:val="Akapitzlist"/>
        <w:numPr>
          <w:ilvl w:val="0"/>
          <w:numId w:val="2"/>
        </w:numPr>
        <w:ind w:left="284" w:hanging="284"/>
        <w:rPr>
          <w:rFonts w:ascii="Arial Narrow" w:hAnsi="Arial Narrow"/>
          <w:bCs/>
          <w:szCs w:val="24"/>
        </w:rPr>
      </w:pPr>
      <w:r w:rsidRPr="00E83436">
        <w:rPr>
          <w:rFonts w:ascii="Arial Narrow" w:hAnsi="Arial Narrow"/>
          <w:bCs/>
          <w:szCs w:val="24"/>
        </w:rPr>
        <w:t>internal Inspections</w:t>
      </w:r>
    </w:p>
    <w:p w14:paraId="3253B1A7" w14:textId="77777777" w:rsidR="00D246F3" w:rsidRPr="00E83436" w:rsidRDefault="00D246F3" w:rsidP="00D246F3">
      <w:pPr>
        <w:autoSpaceDE w:val="0"/>
        <w:autoSpaceDN w:val="0"/>
        <w:rPr>
          <w:rFonts w:ascii="Arial Narrow" w:hAnsi="Arial Narrow"/>
          <w:szCs w:val="24"/>
          <w:lang w:val="en-US"/>
        </w:rPr>
      </w:pPr>
    </w:p>
    <w:p w14:paraId="4FD3324D" w14:textId="77777777" w:rsidR="00D246F3" w:rsidRPr="00E83436" w:rsidRDefault="00D246F3" w:rsidP="00D246F3">
      <w:pPr>
        <w:autoSpaceDE w:val="0"/>
        <w:autoSpaceDN w:val="0"/>
        <w:rPr>
          <w:rFonts w:ascii="Arial Narrow" w:hAnsi="Arial Narrow"/>
          <w:szCs w:val="24"/>
        </w:rPr>
      </w:pPr>
      <w:r w:rsidRPr="00E83436">
        <w:rPr>
          <w:rFonts w:ascii="Arial Narrow" w:hAnsi="Arial Narrow"/>
          <w:szCs w:val="24"/>
        </w:rPr>
        <w:t xml:space="preserve">The Agency's officials checked the conditions under which our products are manufactured, and thus confirmed that they meet the requirements they set for exporters. </w:t>
      </w:r>
    </w:p>
    <w:p w14:paraId="743D9D9E" w14:textId="77777777" w:rsidR="00D246F3" w:rsidRPr="00E83436" w:rsidRDefault="00D246F3" w:rsidP="00D246F3">
      <w:pPr>
        <w:autoSpaceDE w:val="0"/>
        <w:autoSpaceDN w:val="0"/>
        <w:rPr>
          <w:rFonts w:ascii="Arial Narrow" w:hAnsi="Arial Narrow"/>
          <w:szCs w:val="24"/>
        </w:rPr>
      </w:pPr>
      <w:r w:rsidRPr="00E83436">
        <w:rPr>
          <w:rFonts w:ascii="Arial Narrow" w:hAnsi="Arial Narrow"/>
          <w:szCs w:val="24"/>
        </w:rPr>
        <w:t>The FDA not only controls food, including dietary supplements, medicines, medical devices but also cosmetics and veterinary products. Its ruling is an indicator of product quality and safety. The inspection ended in a positive result.</w:t>
      </w:r>
    </w:p>
    <w:p w14:paraId="7AD4BAF1" w14:textId="77777777" w:rsidR="00D246F3" w:rsidRPr="00E83436" w:rsidRDefault="00D246F3" w:rsidP="00D246F3">
      <w:pPr>
        <w:autoSpaceDE w:val="0"/>
        <w:autoSpaceDN w:val="0"/>
        <w:rPr>
          <w:rFonts w:ascii="Arial Narrow" w:hAnsi="Arial Narrow"/>
          <w:szCs w:val="24"/>
        </w:rPr>
      </w:pPr>
    </w:p>
    <w:p w14:paraId="4E14BC31" w14:textId="77777777" w:rsidR="00D246F3" w:rsidRPr="00E83436" w:rsidRDefault="00D246F3" w:rsidP="00D246F3">
      <w:pPr>
        <w:autoSpaceDE w:val="0"/>
        <w:autoSpaceDN w:val="0"/>
        <w:rPr>
          <w:rFonts w:ascii="Arial Narrow" w:hAnsi="Arial Narrow"/>
          <w:szCs w:val="24"/>
        </w:rPr>
      </w:pPr>
      <w:r w:rsidRPr="00E83436">
        <w:rPr>
          <w:rFonts w:ascii="Arial Narrow" w:hAnsi="Arial Narrow"/>
          <w:szCs w:val="24"/>
        </w:rPr>
        <w:t xml:space="preserve">The FDA does not issue certificates, and a confirmation is our placement in the FDA database. </w:t>
      </w:r>
    </w:p>
    <w:p w14:paraId="0C847B65" w14:textId="77777777" w:rsidR="00D246F3" w:rsidRPr="00E83436" w:rsidRDefault="00D246F3" w:rsidP="00D246F3">
      <w:pPr>
        <w:rPr>
          <w:rFonts w:ascii="Arial Narrow" w:hAnsi="Arial Narrow"/>
          <w:szCs w:val="24"/>
        </w:rPr>
      </w:pPr>
      <w:r w:rsidRPr="00E83436">
        <w:rPr>
          <w:rFonts w:ascii="Arial Narrow" w:hAnsi="Arial Narrow"/>
          <w:szCs w:val="24"/>
        </w:rPr>
        <w:t>Attached is proof that the result of the inspection was positive (in the Classification section you can see NAI, which means No Action Indicated)</w:t>
      </w:r>
    </w:p>
    <w:p w14:paraId="517E9221" w14:textId="77777777" w:rsidR="00D246F3" w:rsidRPr="00E83436" w:rsidRDefault="00D246F3" w:rsidP="00D246F3">
      <w:pPr>
        <w:rPr>
          <w:rFonts w:ascii="Arial Narrow" w:hAnsi="Arial Narrow"/>
          <w:szCs w:val="24"/>
        </w:rPr>
      </w:pPr>
      <w:r w:rsidRPr="00E83436">
        <w:rPr>
          <w:rFonts w:ascii="Arial Narrow" w:hAnsi="Arial Narrow"/>
          <w:szCs w:val="24"/>
        </w:rPr>
        <w:t>Below is a link to search results in the FDA database</w:t>
      </w:r>
    </w:p>
    <w:p w14:paraId="7FB8DDEA" w14:textId="77777777" w:rsidR="00D246F3" w:rsidRPr="00E83436" w:rsidRDefault="00E83436" w:rsidP="00D246F3">
      <w:hyperlink r:id="rId8" w:history="1">
        <w:r w:rsidR="00D246F3" w:rsidRPr="00E83436">
          <w:rPr>
            <w:rStyle w:val="Hipercze"/>
          </w:rPr>
          <w:t>https://www.accessdata.fda.gov/scripts/inspsearch/results.cfm?start=1&amp;end=100&amp;textSearch=Olimp%20Laboratories&amp;classification=&amp;state=&amp;project=&amp;inspDateEndFrom=&amp;inspDateEndTo=&amp;classificationDecision=&amp;country=&amp;city=&amp;zip=&amp;center=&amp;sortBy=&amp;district=</w:t>
        </w:r>
      </w:hyperlink>
    </w:p>
    <w:p w14:paraId="722669B8" w14:textId="77777777" w:rsidR="00D246F3" w:rsidRPr="00E83436" w:rsidRDefault="00D246F3" w:rsidP="00D246F3">
      <w:pPr>
        <w:rPr>
          <w:sz w:val="22"/>
          <w:szCs w:val="22"/>
          <w:lang w:eastAsia="en-US"/>
        </w:rPr>
      </w:pPr>
    </w:p>
    <w:p w14:paraId="46B2A0AB" w14:textId="77777777" w:rsidR="00D246F3" w:rsidRPr="00E83436" w:rsidRDefault="00D246F3" w:rsidP="00D246F3">
      <w:pPr>
        <w:autoSpaceDE w:val="0"/>
        <w:autoSpaceDN w:val="0"/>
        <w:rPr>
          <w:rFonts w:ascii="Arial Narrow" w:hAnsi="Arial Narrow"/>
          <w:szCs w:val="24"/>
        </w:rPr>
      </w:pPr>
      <w:r w:rsidRPr="00E83436">
        <w:rPr>
          <w:rFonts w:ascii="Arial Narrow" w:hAnsi="Arial Narrow"/>
          <w:szCs w:val="24"/>
        </w:rPr>
        <w:t>The FDA has found that both production sites (Nagawczyna, Pustynia) meet the GMP requirements for dietary supplements established by the US.</w:t>
      </w:r>
    </w:p>
    <w:p w14:paraId="4DCA9E75" w14:textId="77777777" w:rsidR="00D246F3" w:rsidRPr="00E83436" w:rsidRDefault="00D246F3" w:rsidP="00D246F3">
      <w:pPr>
        <w:rPr>
          <w:lang w:eastAsia="en-US"/>
        </w:rPr>
      </w:pPr>
    </w:p>
    <w:p w14:paraId="712DBC47" w14:textId="77777777" w:rsidR="00D246F3" w:rsidRPr="00E83436" w:rsidRDefault="00D246F3" w:rsidP="00D246F3">
      <w:pPr>
        <w:autoSpaceDE w:val="0"/>
        <w:autoSpaceDN w:val="0"/>
        <w:rPr>
          <w:rFonts w:ascii="Arial Narrow" w:hAnsi="Arial Narrow"/>
          <w:szCs w:val="24"/>
        </w:rPr>
      </w:pPr>
      <w:r w:rsidRPr="00E83436">
        <w:rPr>
          <w:rFonts w:ascii="Arial Narrow" w:hAnsi="Arial Narrow"/>
          <w:szCs w:val="24"/>
        </w:rPr>
        <w:t>Below is also a link to the CFR document with which Olimp had to comply in order for the FDA to declare our company compliant with US GMP standards for dietary supplements.</w:t>
      </w:r>
    </w:p>
    <w:p w14:paraId="029CDE77" w14:textId="77777777" w:rsidR="00D246F3" w:rsidRPr="00E83436" w:rsidRDefault="00D246F3" w:rsidP="00D246F3">
      <w:pPr>
        <w:rPr>
          <w:color w:val="0563C1"/>
          <w:u w:val="single"/>
        </w:rPr>
      </w:pPr>
      <w:hyperlink r:id="rId9" w:history="1">
        <w:r w:rsidRPr="00E83436">
          <w:rPr>
            <w:rStyle w:val="Hipercze"/>
          </w:rPr>
          <w:t>https://www.ecfr.gov/cgi-bin/text-idx?SID=edd75688ebd26aa4d4a4cede546be22a&amp;mc=true&amp;node=pt21.2.111&amp;rgn=div5</w:t>
        </w:r>
      </w:hyperlink>
    </w:p>
    <w:p w14:paraId="570F39A5" w14:textId="77777777" w:rsidR="00D246F3" w:rsidRPr="00E83436" w:rsidRDefault="00D246F3" w:rsidP="00D246F3">
      <w:pPr>
        <w:rPr>
          <w:rStyle w:val="Hipercze"/>
        </w:rPr>
      </w:pPr>
    </w:p>
    <w:p w14:paraId="7E23548B" w14:textId="77777777" w:rsidR="00D246F3" w:rsidRPr="00E83436" w:rsidRDefault="00D246F3" w:rsidP="00D246F3">
      <w:pPr>
        <w:rPr>
          <w:rStyle w:val="Hipercze"/>
        </w:rPr>
      </w:pPr>
    </w:p>
    <w:p w14:paraId="2C6F5507" w14:textId="77777777" w:rsidR="00D246F3" w:rsidRPr="00E83436" w:rsidRDefault="00D246F3" w:rsidP="00D246F3">
      <w:pPr>
        <w:rPr>
          <w:rStyle w:val="Hipercze"/>
        </w:rPr>
      </w:pPr>
    </w:p>
    <w:p w14:paraId="461DC330" w14:textId="77777777" w:rsidR="00D246F3" w:rsidRPr="00E83436" w:rsidRDefault="00D246F3" w:rsidP="00D246F3">
      <w:pPr>
        <w:jc w:val="both"/>
        <w:rPr>
          <w:rFonts w:ascii="Arial Narrow" w:hAnsi="Arial Narrow"/>
          <w:szCs w:val="24"/>
        </w:rPr>
      </w:pPr>
      <w:r w:rsidRPr="00E83436">
        <w:rPr>
          <w:rFonts w:ascii="Arial Narrow" w:hAnsi="Arial Narrow"/>
          <w:szCs w:val="24"/>
        </w:rPr>
        <w:t>In the report, the inspector stated that he did not find any adverse conditions that would justify issuing FDA 483 Inspectional Observations. Therefore, the FDA 483 Inspectional Observations document has not been issued for Olimp, which amounts to a lack of non-compliance.</w:t>
      </w:r>
    </w:p>
    <w:p w14:paraId="48700EDD" w14:textId="77777777" w:rsidR="009F08F3" w:rsidRPr="00D246F3" w:rsidRDefault="009F08F3" w:rsidP="00E36848"/>
    <w:sectPr w:rsidR="009F08F3" w:rsidRPr="00D246F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E5ECD" w14:textId="77777777" w:rsidR="00D246F3" w:rsidRDefault="00D246F3" w:rsidP="00D246F3">
      <w:r>
        <w:separator/>
      </w:r>
    </w:p>
  </w:endnote>
  <w:endnote w:type="continuationSeparator" w:id="0">
    <w:p w14:paraId="18C6FB3B" w14:textId="77777777" w:rsidR="00D246F3" w:rsidRDefault="00D246F3" w:rsidP="00D2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B071" w14:textId="77777777" w:rsidR="00D246F3" w:rsidRDefault="00D246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B763C" w14:textId="77777777" w:rsidR="00D246F3" w:rsidRDefault="00D246F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8B830" w14:textId="77777777" w:rsidR="00D246F3" w:rsidRDefault="00D246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C7C66" w14:textId="77777777" w:rsidR="00D246F3" w:rsidRDefault="00D246F3" w:rsidP="00D246F3">
      <w:r>
        <w:separator/>
      </w:r>
    </w:p>
  </w:footnote>
  <w:footnote w:type="continuationSeparator" w:id="0">
    <w:p w14:paraId="2EEA0FA9" w14:textId="77777777" w:rsidR="00D246F3" w:rsidRDefault="00D246F3" w:rsidP="00D24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988A7" w14:textId="77777777" w:rsidR="00D246F3" w:rsidRDefault="00D246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2E2BD" w14:textId="77777777" w:rsidR="00D246F3" w:rsidRDefault="00D246F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4780" w14:textId="77777777" w:rsidR="00D246F3" w:rsidRDefault="00D246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A6BAF"/>
    <w:multiLevelType w:val="hybridMultilevel"/>
    <w:tmpl w:val="A97A2CE8"/>
    <w:lvl w:ilvl="0" w:tplc="621067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D0D410F"/>
    <w:multiLevelType w:val="hybridMultilevel"/>
    <w:tmpl w:val="2796F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848"/>
    <w:rsid w:val="00063EED"/>
    <w:rsid w:val="00180F62"/>
    <w:rsid w:val="002F50A9"/>
    <w:rsid w:val="003F23F5"/>
    <w:rsid w:val="00787BDC"/>
    <w:rsid w:val="009F08F3"/>
    <w:rsid w:val="00C82AA0"/>
    <w:rsid w:val="00D246F3"/>
    <w:rsid w:val="00E36848"/>
    <w:rsid w:val="00E83436"/>
    <w:rsid w:val="00EF1697"/>
    <w:rsid w:val="00FA12B7"/>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EA3E"/>
  <w15:chartTrackingRefBased/>
  <w15:docId w15:val="{83544402-09CC-4157-8B1C-AD90F658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6848"/>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6848"/>
    <w:rPr>
      <w:color w:val="0563C1"/>
      <w:u w:val="single"/>
    </w:rPr>
  </w:style>
  <w:style w:type="paragraph" w:customStyle="1" w:styleId="xmsonormal">
    <w:name w:val="x_msonormal"/>
    <w:basedOn w:val="Normalny"/>
    <w:rsid w:val="00FA12B7"/>
    <w:pPr>
      <w:spacing w:before="100" w:beforeAutospacing="1" w:after="100" w:afterAutospacing="1"/>
    </w:pPr>
    <w:rPr>
      <w:rFonts w:ascii="Calibri" w:eastAsiaTheme="minorHAnsi" w:hAnsi="Calibri"/>
      <w:sz w:val="22"/>
      <w:szCs w:val="22"/>
    </w:rPr>
  </w:style>
  <w:style w:type="character" w:styleId="UyteHipercze">
    <w:name w:val="FollowedHyperlink"/>
    <w:basedOn w:val="Domylnaczcionkaakapitu"/>
    <w:uiPriority w:val="99"/>
    <w:semiHidden/>
    <w:unhideWhenUsed/>
    <w:rsid w:val="00180F62"/>
    <w:rPr>
      <w:color w:val="954F72" w:themeColor="followedHyperlink"/>
      <w:u w:val="single"/>
    </w:rPr>
  </w:style>
  <w:style w:type="character" w:styleId="Pogrubienie">
    <w:name w:val="Strong"/>
    <w:basedOn w:val="Domylnaczcionkaakapitu"/>
    <w:uiPriority w:val="22"/>
    <w:qFormat/>
    <w:rsid w:val="00180F62"/>
    <w:rPr>
      <w:b/>
      <w:bCs/>
    </w:rPr>
  </w:style>
  <w:style w:type="paragraph" w:styleId="Akapitzlist">
    <w:name w:val="List Paragraph"/>
    <w:basedOn w:val="Normalny"/>
    <w:uiPriority w:val="34"/>
    <w:qFormat/>
    <w:rsid w:val="00787BDC"/>
    <w:pPr>
      <w:ind w:left="720"/>
      <w:contextualSpacing/>
    </w:pPr>
  </w:style>
  <w:style w:type="paragraph" w:styleId="Nagwek">
    <w:name w:val="header"/>
    <w:basedOn w:val="Normalny"/>
    <w:link w:val="NagwekZnak"/>
    <w:uiPriority w:val="99"/>
    <w:unhideWhenUsed/>
    <w:rsid w:val="00D246F3"/>
    <w:pPr>
      <w:tabs>
        <w:tab w:val="center" w:pos="4536"/>
        <w:tab w:val="right" w:pos="9072"/>
      </w:tabs>
    </w:pPr>
  </w:style>
  <w:style w:type="character" w:customStyle="1" w:styleId="NagwekZnak">
    <w:name w:val="Nagłówek Znak"/>
    <w:basedOn w:val="Domylnaczcionkaakapitu"/>
    <w:link w:val="Nagwek"/>
    <w:uiPriority w:val="99"/>
    <w:rsid w:val="00D246F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246F3"/>
    <w:pPr>
      <w:tabs>
        <w:tab w:val="center" w:pos="4536"/>
        <w:tab w:val="right" w:pos="9072"/>
      </w:tabs>
    </w:pPr>
  </w:style>
  <w:style w:type="character" w:customStyle="1" w:styleId="StopkaZnak">
    <w:name w:val="Stopka Znak"/>
    <w:basedOn w:val="Domylnaczcionkaakapitu"/>
    <w:link w:val="Stopka"/>
    <w:uiPriority w:val="99"/>
    <w:rsid w:val="00D246F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022654">
      <w:bodyDiv w:val="1"/>
      <w:marLeft w:val="0"/>
      <w:marRight w:val="0"/>
      <w:marTop w:val="0"/>
      <w:marBottom w:val="0"/>
      <w:divBdr>
        <w:top w:val="none" w:sz="0" w:space="0" w:color="auto"/>
        <w:left w:val="none" w:sz="0" w:space="0" w:color="auto"/>
        <w:bottom w:val="none" w:sz="0" w:space="0" w:color="auto"/>
        <w:right w:val="none" w:sz="0" w:space="0" w:color="auto"/>
      </w:divBdr>
    </w:div>
    <w:div w:id="1445223285">
      <w:bodyDiv w:val="1"/>
      <w:marLeft w:val="0"/>
      <w:marRight w:val="0"/>
      <w:marTop w:val="0"/>
      <w:marBottom w:val="0"/>
      <w:divBdr>
        <w:top w:val="none" w:sz="0" w:space="0" w:color="auto"/>
        <w:left w:val="none" w:sz="0" w:space="0" w:color="auto"/>
        <w:bottom w:val="none" w:sz="0" w:space="0" w:color="auto"/>
        <w:right w:val="none" w:sz="0" w:space="0" w:color="auto"/>
      </w:divBdr>
    </w:div>
    <w:div w:id="16933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scripts/inspsearch/results.cfm?start=1&amp;end=100&amp;textSearch=Olimp%20Laboratories&amp;classification=&amp;state=&amp;project=&amp;inspDateEndFrom=&amp;inspDateEndTo=&amp;classificationDecision=&amp;country=&amp;city=&amp;zip=&amp;center=&amp;sortBy=&amp;distri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ccessdata.fda.gov/scripts/cdrh/cfdocs/cfcfr/CFRSearch.cfm?CFRPart=111&amp;showFR=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cfr.gov/cgi-bin/text-idx?SID=edd75688ebd26aa4d4a4cede546be22a&amp;mc=true&amp;node=pt21.2.111&amp;rgn=div5"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2940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Gertruda Biruś</dc:creator>
  <cp:keywords/>
  <dc:description/>
  <cp:lastModifiedBy>Sławomir Olech</cp:lastModifiedBy>
  <cp:revision>3</cp:revision>
  <dcterms:created xsi:type="dcterms:W3CDTF">2020-10-12T09:20:00Z</dcterms:created>
  <dcterms:modified xsi:type="dcterms:W3CDTF">2020-10-14T14:30:00Z</dcterms:modified>
</cp:coreProperties>
</file>